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8E1" w:rsidRPr="002708E1" w:rsidRDefault="002708E1" w:rsidP="002708E1">
      <w:pPr>
        <w:spacing w:after="0" w:line="240" w:lineRule="auto"/>
        <w:jc w:val="center"/>
        <w:rPr>
          <w:rFonts w:eastAsia="Times New Roman" w:cs="Times New Roman"/>
          <w:szCs w:val="24"/>
          <w:lang w:eastAsia="es-CO"/>
        </w:rPr>
      </w:pPr>
      <w:r w:rsidRPr="002708E1">
        <w:rPr>
          <w:rFonts w:eastAsia="Times New Roman" w:cs="Times New Roman"/>
          <w:b/>
          <w:bCs/>
          <w:szCs w:val="24"/>
          <w:lang w:eastAsia="es-CO"/>
        </w:rPr>
        <w:t>OFICIO Nº 028463</w:t>
      </w:r>
    </w:p>
    <w:p w:rsidR="002708E1" w:rsidRPr="002708E1" w:rsidRDefault="002708E1" w:rsidP="002708E1">
      <w:pPr>
        <w:spacing w:after="0" w:line="240" w:lineRule="auto"/>
        <w:jc w:val="center"/>
        <w:rPr>
          <w:rFonts w:eastAsia="Times New Roman" w:cs="Times New Roman"/>
          <w:szCs w:val="24"/>
          <w:lang w:eastAsia="es-CO"/>
        </w:rPr>
      </w:pPr>
      <w:r w:rsidRPr="002708E1">
        <w:rPr>
          <w:rFonts w:eastAsia="Times New Roman" w:cs="Times New Roman"/>
          <w:b/>
          <w:szCs w:val="24"/>
          <w:lang w:eastAsia="es-CO"/>
        </w:rPr>
        <w:t>30-09-</w:t>
      </w:r>
      <w:r w:rsidRPr="002708E1">
        <w:rPr>
          <w:rFonts w:eastAsia="Times New Roman" w:cs="Times New Roman"/>
          <w:b/>
          <w:bCs/>
          <w:szCs w:val="24"/>
          <w:lang w:eastAsia="es-CO"/>
        </w:rPr>
        <w:t>2015</w:t>
      </w:r>
    </w:p>
    <w:p w:rsidR="002708E1" w:rsidRPr="002708E1" w:rsidRDefault="002708E1" w:rsidP="002708E1">
      <w:pPr>
        <w:spacing w:after="0" w:line="240" w:lineRule="auto"/>
        <w:jc w:val="center"/>
        <w:rPr>
          <w:rFonts w:eastAsia="Times New Roman" w:cs="Times New Roman"/>
          <w:szCs w:val="24"/>
          <w:lang w:eastAsia="es-CO"/>
        </w:rPr>
      </w:pPr>
      <w:bookmarkStart w:id="0" w:name="_GoBack"/>
      <w:bookmarkEnd w:id="0"/>
      <w:r w:rsidRPr="002708E1">
        <w:rPr>
          <w:rFonts w:eastAsia="Times New Roman" w:cs="Times New Roman"/>
          <w:b/>
          <w:szCs w:val="24"/>
          <w:lang w:eastAsia="es-CO"/>
        </w:rPr>
        <w:t>DIAN</w:t>
      </w:r>
    </w:p>
    <w:p w:rsidR="002708E1" w:rsidRPr="002708E1" w:rsidRDefault="002708E1" w:rsidP="002708E1">
      <w:pPr>
        <w:spacing w:after="0" w:line="240" w:lineRule="auto"/>
        <w:jc w:val="both"/>
        <w:rPr>
          <w:rFonts w:eastAsia="Times New Roman" w:cs="Times New Roman"/>
          <w:szCs w:val="24"/>
          <w:lang w:eastAsia="es-CO"/>
        </w:rPr>
      </w:pPr>
      <w:r w:rsidRPr="002708E1">
        <w:rPr>
          <w:rFonts w:eastAsia="Times New Roman" w:cs="Times New Roman"/>
          <w:b/>
          <w:szCs w:val="24"/>
          <w:lang w:eastAsia="es-CO"/>
        </w:rPr>
        <w:t> </w:t>
      </w:r>
    </w:p>
    <w:p w:rsidR="002708E1" w:rsidRPr="002708E1" w:rsidRDefault="002708E1" w:rsidP="002708E1">
      <w:pPr>
        <w:spacing w:after="0" w:line="240" w:lineRule="auto"/>
        <w:jc w:val="both"/>
        <w:rPr>
          <w:rFonts w:eastAsia="Times New Roman" w:cs="Times New Roman"/>
          <w:szCs w:val="24"/>
          <w:lang w:eastAsia="es-CO"/>
        </w:rPr>
      </w:pPr>
      <w:r w:rsidRPr="002708E1">
        <w:rPr>
          <w:rFonts w:eastAsia="Times New Roman" w:cs="Times New Roman"/>
          <w:b/>
          <w:szCs w:val="24"/>
          <w:lang w:eastAsia="es-CO"/>
        </w:rPr>
        <w:t> </w:t>
      </w:r>
    </w:p>
    <w:p w:rsidR="002708E1" w:rsidRPr="002708E1" w:rsidRDefault="002708E1" w:rsidP="002708E1">
      <w:pPr>
        <w:spacing w:after="0" w:line="240" w:lineRule="auto"/>
        <w:jc w:val="both"/>
        <w:rPr>
          <w:rFonts w:eastAsia="Times New Roman" w:cs="Times New Roman"/>
          <w:szCs w:val="24"/>
          <w:lang w:eastAsia="es-CO"/>
        </w:rPr>
      </w:pPr>
      <w:r w:rsidRPr="002708E1">
        <w:rPr>
          <w:rFonts w:eastAsia="Times New Roman" w:cs="Times New Roman"/>
          <w:szCs w:val="24"/>
          <w:lang w:eastAsia="es-CO"/>
        </w:rPr>
        <w:t>Subdirección de Gestión Normativa y Doctrina</w:t>
      </w:r>
    </w:p>
    <w:p w:rsidR="002708E1" w:rsidRPr="002708E1" w:rsidRDefault="002708E1" w:rsidP="002708E1">
      <w:pPr>
        <w:spacing w:after="0" w:line="240" w:lineRule="auto"/>
        <w:jc w:val="both"/>
        <w:rPr>
          <w:rFonts w:eastAsia="Times New Roman" w:cs="Times New Roman"/>
          <w:szCs w:val="24"/>
          <w:lang w:eastAsia="es-CO"/>
        </w:rPr>
      </w:pPr>
      <w:r w:rsidRPr="002708E1">
        <w:rPr>
          <w:rFonts w:eastAsia="Times New Roman" w:cs="Times New Roman"/>
          <w:szCs w:val="24"/>
          <w:lang w:eastAsia="es-CO"/>
        </w:rPr>
        <w:t>100208221-001260</w:t>
      </w:r>
    </w:p>
    <w:p w:rsidR="002708E1" w:rsidRPr="002708E1" w:rsidRDefault="002708E1" w:rsidP="002708E1">
      <w:pPr>
        <w:spacing w:after="0" w:line="240" w:lineRule="auto"/>
        <w:jc w:val="both"/>
        <w:rPr>
          <w:rFonts w:eastAsia="Times New Roman" w:cs="Times New Roman"/>
          <w:szCs w:val="24"/>
          <w:lang w:eastAsia="es-CO"/>
        </w:rPr>
      </w:pPr>
      <w:r w:rsidRPr="002708E1">
        <w:rPr>
          <w:rFonts w:eastAsia="Times New Roman" w:cs="Times New Roman"/>
          <w:szCs w:val="24"/>
          <w:lang w:eastAsia="es-CO"/>
        </w:rPr>
        <w:t>Bogotá, D. C.</w:t>
      </w:r>
    </w:p>
    <w:p w:rsidR="002708E1" w:rsidRPr="002708E1" w:rsidRDefault="002708E1" w:rsidP="002708E1">
      <w:pPr>
        <w:spacing w:after="0" w:line="240" w:lineRule="auto"/>
        <w:jc w:val="both"/>
        <w:rPr>
          <w:rFonts w:eastAsia="Times New Roman" w:cs="Times New Roman"/>
          <w:szCs w:val="24"/>
          <w:lang w:eastAsia="es-CO"/>
        </w:rPr>
      </w:pPr>
      <w:r w:rsidRPr="002708E1">
        <w:rPr>
          <w:rFonts w:eastAsia="Times New Roman" w:cs="Times New Roman"/>
          <w:szCs w:val="24"/>
          <w:lang w:eastAsia="es-CO"/>
        </w:rPr>
        <w:t> </w:t>
      </w:r>
    </w:p>
    <w:p w:rsidR="002708E1" w:rsidRPr="002708E1" w:rsidRDefault="002708E1" w:rsidP="002708E1">
      <w:pPr>
        <w:spacing w:after="0" w:line="240" w:lineRule="auto"/>
        <w:jc w:val="both"/>
        <w:rPr>
          <w:rFonts w:eastAsia="Times New Roman" w:cs="Times New Roman"/>
          <w:szCs w:val="24"/>
          <w:lang w:eastAsia="es-CO"/>
        </w:rPr>
      </w:pPr>
      <w:r w:rsidRPr="002708E1">
        <w:rPr>
          <w:rFonts w:eastAsia="Times New Roman" w:cs="Times New Roman"/>
          <w:szCs w:val="24"/>
          <w:lang w:eastAsia="es-CO"/>
        </w:rPr>
        <w:t>Señora</w:t>
      </w:r>
    </w:p>
    <w:p w:rsidR="002708E1" w:rsidRPr="002708E1" w:rsidRDefault="002708E1" w:rsidP="002708E1">
      <w:pPr>
        <w:spacing w:after="0" w:line="240" w:lineRule="auto"/>
        <w:jc w:val="both"/>
        <w:rPr>
          <w:rFonts w:eastAsia="Times New Roman" w:cs="Times New Roman"/>
          <w:szCs w:val="24"/>
          <w:lang w:eastAsia="es-CO"/>
        </w:rPr>
      </w:pPr>
      <w:r w:rsidRPr="002708E1">
        <w:rPr>
          <w:rFonts w:eastAsia="Times New Roman" w:cs="Times New Roman"/>
          <w:b/>
          <w:szCs w:val="24"/>
          <w:lang w:eastAsia="es-CO"/>
        </w:rPr>
        <w:t>INGRID PAOLA ROJAS RODRÍGUEZ</w:t>
      </w:r>
    </w:p>
    <w:p w:rsidR="002708E1" w:rsidRPr="002708E1" w:rsidRDefault="002708E1" w:rsidP="002708E1">
      <w:pPr>
        <w:spacing w:after="0" w:line="240" w:lineRule="auto"/>
        <w:jc w:val="both"/>
        <w:rPr>
          <w:rFonts w:eastAsia="Times New Roman" w:cs="Times New Roman"/>
          <w:szCs w:val="24"/>
          <w:lang w:eastAsia="es-CO"/>
        </w:rPr>
      </w:pPr>
      <w:r w:rsidRPr="002708E1">
        <w:rPr>
          <w:rFonts w:eastAsia="Times New Roman" w:cs="Times New Roman"/>
          <w:szCs w:val="24"/>
          <w:lang w:eastAsia="es-CO"/>
        </w:rPr>
        <w:t>Calle 75A N.° 28A-40 Piso 1</w:t>
      </w:r>
    </w:p>
    <w:p w:rsidR="002708E1" w:rsidRPr="002708E1" w:rsidRDefault="002708E1" w:rsidP="002708E1">
      <w:pPr>
        <w:spacing w:after="0" w:line="240" w:lineRule="auto"/>
        <w:jc w:val="both"/>
        <w:rPr>
          <w:rFonts w:eastAsia="Times New Roman" w:cs="Times New Roman"/>
          <w:szCs w:val="24"/>
          <w:lang w:eastAsia="es-CO"/>
        </w:rPr>
      </w:pPr>
      <w:r w:rsidRPr="002708E1">
        <w:rPr>
          <w:rFonts w:eastAsia="Times New Roman" w:cs="Times New Roman"/>
          <w:szCs w:val="24"/>
          <w:lang w:eastAsia="es-CO"/>
        </w:rPr>
        <w:t>Bogotá, D. C.</w:t>
      </w:r>
    </w:p>
    <w:p w:rsidR="002708E1" w:rsidRPr="002708E1" w:rsidRDefault="002708E1" w:rsidP="002708E1">
      <w:pPr>
        <w:spacing w:after="0" w:line="240" w:lineRule="auto"/>
        <w:jc w:val="both"/>
        <w:rPr>
          <w:rFonts w:eastAsia="Times New Roman" w:cs="Times New Roman"/>
          <w:szCs w:val="24"/>
          <w:lang w:eastAsia="es-CO"/>
        </w:rPr>
      </w:pPr>
      <w:r w:rsidRPr="002708E1">
        <w:rPr>
          <w:rFonts w:eastAsia="Times New Roman" w:cs="Times New Roman"/>
          <w:b/>
          <w:bCs/>
          <w:szCs w:val="24"/>
          <w:lang w:eastAsia="es-CO"/>
        </w:rPr>
        <w:t> </w:t>
      </w:r>
    </w:p>
    <w:p w:rsidR="002708E1" w:rsidRPr="002708E1" w:rsidRDefault="002708E1" w:rsidP="002708E1">
      <w:pPr>
        <w:spacing w:after="0" w:line="240" w:lineRule="auto"/>
        <w:jc w:val="both"/>
        <w:rPr>
          <w:rFonts w:eastAsia="Times New Roman" w:cs="Times New Roman"/>
          <w:szCs w:val="24"/>
          <w:lang w:eastAsia="es-CO"/>
        </w:rPr>
      </w:pPr>
      <w:r w:rsidRPr="002708E1">
        <w:rPr>
          <w:rFonts w:eastAsia="Times New Roman" w:cs="Times New Roman"/>
          <w:b/>
          <w:bCs/>
          <w:szCs w:val="24"/>
          <w:lang w:eastAsia="es-CO"/>
        </w:rPr>
        <w:t>Referencia</w:t>
      </w:r>
      <w:r w:rsidRPr="002708E1">
        <w:rPr>
          <w:rFonts w:eastAsia="Times New Roman" w:cs="Times New Roman"/>
          <w:szCs w:val="24"/>
          <w:lang w:eastAsia="es-CO"/>
        </w:rPr>
        <w:t>. Radicado número 012784 del 30 de marzo de 2015</w:t>
      </w:r>
    </w:p>
    <w:p w:rsidR="002708E1" w:rsidRPr="002708E1" w:rsidRDefault="002708E1" w:rsidP="002708E1">
      <w:pPr>
        <w:spacing w:after="0" w:line="240" w:lineRule="auto"/>
        <w:jc w:val="both"/>
        <w:rPr>
          <w:rFonts w:eastAsia="Times New Roman" w:cs="Times New Roman"/>
          <w:szCs w:val="24"/>
          <w:lang w:eastAsia="es-CO"/>
        </w:rPr>
      </w:pPr>
      <w:r w:rsidRPr="002708E1">
        <w:rPr>
          <w:rFonts w:eastAsia="Times New Roman" w:cs="Times New Roman"/>
          <w:szCs w:val="24"/>
          <w:lang w:eastAsia="es-CO"/>
        </w:rPr>
        <w:t> </w:t>
      </w:r>
    </w:p>
    <w:p w:rsidR="002708E1" w:rsidRPr="002708E1" w:rsidRDefault="002708E1" w:rsidP="002708E1">
      <w:pPr>
        <w:spacing w:after="0" w:line="240" w:lineRule="auto"/>
        <w:jc w:val="both"/>
        <w:rPr>
          <w:rFonts w:eastAsia="Times New Roman" w:cs="Times New Roman"/>
          <w:szCs w:val="24"/>
          <w:lang w:eastAsia="es-CO"/>
        </w:rPr>
      </w:pPr>
      <w:r w:rsidRPr="002708E1">
        <w:rPr>
          <w:rFonts w:eastAsia="Times New Roman" w:cs="Times New Roman"/>
          <w:b/>
          <w:szCs w:val="24"/>
          <w:lang w:eastAsia="es-CO"/>
        </w:rPr>
        <w:t>Tema</w:t>
      </w:r>
      <w:r w:rsidRPr="002708E1">
        <w:rPr>
          <w:rFonts w:eastAsia="Times New Roman" w:cs="Times New Roman"/>
          <w:szCs w:val="24"/>
          <w:lang w:eastAsia="es-CO"/>
        </w:rPr>
        <w:t xml:space="preserve"> Impuesto sobre la renta y complementarios</w:t>
      </w:r>
    </w:p>
    <w:p w:rsidR="002708E1" w:rsidRPr="002708E1" w:rsidRDefault="002708E1" w:rsidP="002708E1">
      <w:pPr>
        <w:spacing w:after="0" w:line="240" w:lineRule="auto"/>
        <w:jc w:val="both"/>
        <w:rPr>
          <w:rFonts w:eastAsia="Times New Roman" w:cs="Times New Roman"/>
          <w:szCs w:val="24"/>
          <w:lang w:eastAsia="es-CO"/>
        </w:rPr>
      </w:pPr>
      <w:r w:rsidRPr="002708E1">
        <w:rPr>
          <w:rFonts w:eastAsia="Times New Roman" w:cs="Times New Roman"/>
          <w:b/>
          <w:szCs w:val="24"/>
          <w:lang w:eastAsia="es-CO"/>
        </w:rPr>
        <w:t>Descriptores</w:t>
      </w:r>
      <w:r w:rsidRPr="002708E1">
        <w:rPr>
          <w:rFonts w:eastAsia="Times New Roman" w:cs="Times New Roman"/>
          <w:szCs w:val="24"/>
          <w:lang w:eastAsia="es-CO"/>
        </w:rPr>
        <w:t xml:space="preserve"> Contribuyentes del impuesto sobre la renta; Retención en el impuesto sobre la renta; Sujetos pasivos del impuesto sobre la renta</w:t>
      </w:r>
    </w:p>
    <w:p w:rsidR="002708E1" w:rsidRPr="002708E1" w:rsidRDefault="002708E1" w:rsidP="002708E1">
      <w:pPr>
        <w:spacing w:after="0" w:line="240" w:lineRule="auto"/>
        <w:jc w:val="both"/>
        <w:rPr>
          <w:rFonts w:eastAsia="Times New Roman" w:cs="Times New Roman"/>
          <w:szCs w:val="24"/>
          <w:lang w:eastAsia="es-CO"/>
        </w:rPr>
      </w:pPr>
      <w:r w:rsidRPr="002708E1">
        <w:rPr>
          <w:rFonts w:eastAsia="Times New Roman" w:cs="Times New Roman"/>
          <w:b/>
          <w:szCs w:val="24"/>
          <w:lang w:eastAsia="es-CO"/>
        </w:rPr>
        <w:t>Fuentes formales</w:t>
      </w:r>
      <w:r w:rsidRPr="002708E1">
        <w:rPr>
          <w:rFonts w:eastAsia="Times New Roman" w:cs="Times New Roman"/>
          <w:szCs w:val="24"/>
          <w:lang w:eastAsia="es-CO"/>
        </w:rPr>
        <w:t xml:space="preserve"> Artículos </w:t>
      </w:r>
      <w:hyperlink r:id="rId4" w:tooltip="Estatuto Tributario CETA" w:history="1">
        <w:r w:rsidRPr="002708E1">
          <w:rPr>
            <w:rFonts w:eastAsia="Times New Roman" w:cs="Times New Roman"/>
            <w:szCs w:val="24"/>
            <w:u w:val="single"/>
            <w:lang w:eastAsia="es-CO"/>
          </w:rPr>
          <w:t>329</w:t>
        </w:r>
      </w:hyperlink>
      <w:r w:rsidRPr="002708E1">
        <w:rPr>
          <w:rFonts w:eastAsia="Times New Roman" w:cs="Times New Roman"/>
          <w:szCs w:val="24"/>
          <w:lang w:eastAsia="es-CO"/>
        </w:rPr>
        <w:t xml:space="preserve"> y </w:t>
      </w:r>
      <w:hyperlink r:id="rId5" w:tooltip="Estatuto Tributario CETA" w:history="1">
        <w:r w:rsidRPr="002708E1">
          <w:rPr>
            <w:rFonts w:eastAsia="Times New Roman" w:cs="Times New Roman"/>
            <w:szCs w:val="24"/>
            <w:u w:val="single"/>
            <w:lang w:eastAsia="es-CO"/>
          </w:rPr>
          <w:t>384</w:t>
        </w:r>
      </w:hyperlink>
      <w:r w:rsidRPr="002708E1">
        <w:rPr>
          <w:rFonts w:eastAsia="Times New Roman" w:cs="Times New Roman"/>
          <w:szCs w:val="24"/>
          <w:lang w:eastAsia="es-CO"/>
        </w:rPr>
        <w:t xml:space="preserve"> del Estatuto Tributario, 3° del Decreto número 99 de 2013, 7° del Decreto número 1070 de 2013, 1° del Decreto número 3032 de 2013, 27 del Código Civil.</w:t>
      </w:r>
    </w:p>
    <w:p w:rsidR="002708E1" w:rsidRPr="002708E1" w:rsidRDefault="002708E1" w:rsidP="002708E1">
      <w:pPr>
        <w:spacing w:after="0" w:line="240" w:lineRule="auto"/>
        <w:jc w:val="both"/>
        <w:rPr>
          <w:rFonts w:eastAsia="Times New Roman" w:cs="Times New Roman"/>
          <w:szCs w:val="24"/>
          <w:lang w:eastAsia="es-CO"/>
        </w:rPr>
      </w:pPr>
      <w:r w:rsidRPr="002708E1">
        <w:rPr>
          <w:rFonts w:eastAsia="Times New Roman" w:cs="Times New Roman"/>
          <w:szCs w:val="24"/>
          <w:lang w:eastAsia="es-CO"/>
        </w:rPr>
        <w:t> </w:t>
      </w:r>
    </w:p>
    <w:p w:rsidR="002708E1" w:rsidRPr="002708E1" w:rsidRDefault="002708E1" w:rsidP="002708E1">
      <w:pPr>
        <w:spacing w:after="0" w:line="240" w:lineRule="auto"/>
        <w:jc w:val="both"/>
        <w:rPr>
          <w:rFonts w:eastAsia="Times New Roman" w:cs="Times New Roman"/>
          <w:szCs w:val="24"/>
          <w:lang w:eastAsia="es-CO"/>
        </w:rPr>
      </w:pPr>
      <w:r w:rsidRPr="002708E1">
        <w:rPr>
          <w:rFonts w:eastAsia="Times New Roman" w:cs="Times New Roman"/>
          <w:szCs w:val="24"/>
          <w:lang w:eastAsia="es-CO"/>
        </w:rPr>
        <w:t> </w:t>
      </w:r>
    </w:p>
    <w:p w:rsidR="002708E1" w:rsidRPr="002708E1" w:rsidRDefault="002708E1" w:rsidP="002708E1">
      <w:pPr>
        <w:spacing w:after="0" w:line="240" w:lineRule="auto"/>
        <w:jc w:val="both"/>
        <w:rPr>
          <w:rFonts w:eastAsia="Times New Roman" w:cs="Times New Roman"/>
          <w:szCs w:val="24"/>
          <w:lang w:eastAsia="es-CO"/>
        </w:rPr>
      </w:pPr>
      <w:r w:rsidRPr="002708E1">
        <w:rPr>
          <w:rFonts w:eastAsia="Times New Roman" w:cs="Times New Roman"/>
          <w:szCs w:val="24"/>
          <w:lang w:eastAsia="es-CO"/>
        </w:rPr>
        <w:t>Señora, Ingrid Paola Rojas Rodríguez:</w:t>
      </w:r>
    </w:p>
    <w:p w:rsidR="002708E1" w:rsidRPr="002708E1" w:rsidRDefault="002708E1" w:rsidP="002708E1">
      <w:pPr>
        <w:spacing w:after="0" w:line="240" w:lineRule="auto"/>
        <w:jc w:val="both"/>
        <w:rPr>
          <w:rFonts w:eastAsia="Times New Roman" w:cs="Times New Roman"/>
          <w:szCs w:val="24"/>
          <w:lang w:eastAsia="es-CO"/>
        </w:rPr>
      </w:pPr>
      <w:r w:rsidRPr="002708E1">
        <w:rPr>
          <w:rFonts w:eastAsia="Times New Roman" w:cs="Times New Roman"/>
          <w:szCs w:val="24"/>
          <w:lang w:eastAsia="es-CO"/>
        </w:rPr>
        <w:t> </w:t>
      </w:r>
    </w:p>
    <w:p w:rsidR="002708E1" w:rsidRPr="002708E1" w:rsidRDefault="002708E1" w:rsidP="002708E1">
      <w:pPr>
        <w:spacing w:after="0" w:line="240" w:lineRule="auto"/>
        <w:jc w:val="both"/>
        <w:rPr>
          <w:rFonts w:eastAsia="Times New Roman" w:cs="Times New Roman"/>
          <w:szCs w:val="24"/>
          <w:lang w:eastAsia="es-CO"/>
        </w:rPr>
      </w:pPr>
      <w:r w:rsidRPr="002708E1">
        <w:rPr>
          <w:rFonts w:eastAsia="Times New Roman" w:cs="Times New Roman"/>
          <w:szCs w:val="24"/>
          <w:lang w:eastAsia="es-CO"/>
        </w:rPr>
        <w:t>De conformidad con el artículo 20 del Decreto número 4048 de 2008 es función de esta Subdirección absolver las consultas escritas que se formulen sobre la interpretación y aplicación de las normas tributarias de carácter nacional, aduaneras y cambiarias en lo de competencia de la entidad.</w:t>
      </w:r>
    </w:p>
    <w:p w:rsidR="002708E1" w:rsidRPr="002708E1" w:rsidRDefault="002708E1" w:rsidP="002708E1">
      <w:pPr>
        <w:spacing w:after="0" w:line="240" w:lineRule="auto"/>
        <w:jc w:val="both"/>
        <w:rPr>
          <w:rFonts w:eastAsia="Times New Roman" w:cs="Times New Roman"/>
          <w:szCs w:val="24"/>
          <w:lang w:eastAsia="es-CO"/>
        </w:rPr>
      </w:pPr>
      <w:r w:rsidRPr="002708E1">
        <w:rPr>
          <w:rFonts w:eastAsia="Times New Roman" w:cs="Times New Roman"/>
          <w:szCs w:val="24"/>
          <w:lang w:eastAsia="es-CO"/>
        </w:rPr>
        <w:t> </w:t>
      </w:r>
    </w:p>
    <w:p w:rsidR="002708E1" w:rsidRPr="002708E1" w:rsidRDefault="002708E1" w:rsidP="002708E1">
      <w:pPr>
        <w:spacing w:after="0" w:line="240" w:lineRule="auto"/>
        <w:jc w:val="both"/>
        <w:rPr>
          <w:rFonts w:eastAsia="Times New Roman" w:cs="Times New Roman"/>
          <w:szCs w:val="24"/>
          <w:lang w:eastAsia="es-CO"/>
        </w:rPr>
      </w:pPr>
      <w:r w:rsidRPr="002708E1">
        <w:rPr>
          <w:rFonts w:eastAsia="Times New Roman" w:cs="Times New Roman"/>
          <w:szCs w:val="24"/>
          <w:lang w:eastAsia="es-CO"/>
        </w:rPr>
        <w:t>Mediante el radicado de la referencia plantea unas preguntas en torno a la clasificación tributaria de las personas naturales, ámbito dentro del cual se reformularán y absolverán del siguiente modo:</w:t>
      </w:r>
    </w:p>
    <w:p w:rsidR="002708E1" w:rsidRPr="002708E1" w:rsidRDefault="002708E1" w:rsidP="002708E1">
      <w:pPr>
        <w:spacing w:after="0" w:line="240" w:lineRule="auto"/>
        <w:jc w:val="both"/>
        <w:rPr>
          <w:rFonts w:eastAsia="Times New Roman" w:cs="Times New Roman"/>
          <w:szCs w:val="24"/>
          <w:lang w:eastAsia="es-CO"/>
        </w:rPr>
      </w:pPr>
      <w:r w:rsidRPr="002708E1">
        <w:rPr>
          <w:rFonts w:eastAsia="Times New Roman" w:cs="Times New Roman"/>
          <w:szCs w:val="24"/>
          <w:lang w:eastAsia="es-CO"/>
        </w:rPr>
        <w:t> </w:t>
      </w:r>
    </w:p>
    <w:p w:rsidR="002708E1" w:rsidRPr="002708E1" w:rsidRDefault="002708E1" w:rsidP="002708E1">
      <w:pPr>
        <w:spacing w:after="0" w:line="240" w:lineRule="auto"/>
        <w:jc w:val="both"/>
        <w:rPr>
          <w:rFonts w:eastAsia="Times New Roman" w:cs="Times New Roman"/>
          <w:b/>
          <w:szCs w:val="24"/>
          <w:lang w:eastAsia="es-CO"/>
        </w:rPr>
      </w:pPr>
      <w:r w:rsidRPr="002708E1">
        <w:rPr>
          <w:rFonts w:eastAsia="Times New Roman" w:cs="Times New Roman"/>
          <w:b/>
          <w:szCs w:val="24"/>
          <w:lang w:eastAsia="es-CO"/>
        </w:rPr>
        <w:t xml:space="preserve">1. Para efectos de la clasificación tributaria consagrada en el </w:t>
      </w:r>
      <w:hyperlink r:id="rId6" w:tooltip="Estatuto Tributario CETA" w:history="1">
        <w:r w:rsidRPr="002708E1">
          <w:rPr>
            <w:rFonts w:eastAsia="Times New Roman" w:cs="Times New Roman"/>
            <w:b/>
            <w:szCs w:val="24"/>
            <w:u w:val="single"/>
            <w:lang w:eastAsia="es-CO"/>
          </w:rPr>
          <w:t>artículo 329</w:t>
        </w:r>
      </w:hyperlink>
      <w:r w:rsidRPr="002708E1">
        <w:rPr>
          <w:rFonts w:eastAsia="Times New Roman" w:cs="Times New Roman"/>
          <w:b/>
          <w:szCs w:val="24"/>
          <w:lang w:eastAsia="es-CO"/>
        </w:rPr>
        <w:t xml:space="preserve"> del Estatuto Tributario, ¿Es viable considerar que el pago por concepto de honorarios cancelado a los miembros de la junta directiva de una sociedad no se origina en la prestación de un servicio personal?</w:t>
      </w:r>
    </w:p>
    <w:p w:rsidR="002708E1" w:rsidRPr="002708E1" w:rsidRDefault="002708E1" w:rsidP="002708E1">
      <w:pPr>
        <w:spacing w:after="0" w:line="240" w:lineRule="auto"/>
        <w:jc w:val="both"/>
        <w:rPr>
          <w:rFonts w:eastAsia="Times New Roman" w:cs="Times New Roman"/>
          <w:szCs w:val="24"/>
          <w:lang w:eastAsia="es-CO"/>
        </w:rPr>
      </w:pPr>
      <w:r w:rsidRPr="002708E1">
        <w:rPr>
          <w:rFonts w:eastAsia="Times New Roman" w:cs="Times New Roman"/>
          <w:szCs w:val="24"/>
          <w:lang w:eastAsia="es-CO"/>
        </w:rPr>
        <w:t> </w:t>
      </w:r>
    </w:p>
    <w:p w:rsidR="002708E1" w:rsidRPr="002708E1" w:rsidRDefault="002708E1" w:rsidP="002708E1">
      <w:pPr>
        <w:spacing w:after="0" w:line="240" w:lineRule="auto"/>
        <w:jc w:val="both"/>
        <w:rPr>
          <w:rFonts w:eastAsia="Times New Roman" w:cs="Times New Roman"/>
          <w:szCs w:val="24"/>
          <w:lang w:eastAsia="es-CO"/>
        </w:rPr>
      </w:pPr>
      <w:r w:rsidRPr="002708E1">
        <w:rPr>
          <w:rFonts w:eastAsia="Times New Roman" w:cs="Times New Roman"/>
          <w:szCs w:val="24"/>
          <w:lang w:eastAsia="es-CO"/>
        </w:rPr>
        <w:t xml:space="preserve">El </w:t>
      </w:r>
      <w:hyperlink r:id="rId7" w:tooltip="Estatuto Tributario CETA" w:history="1">
        <w:r w:rsidRPr="002708E1">
          <w:rPr>
            <w:rFonts w:eastAsia="Times New Roman" w:cs="Times New Roman"/>
            <w:szCs w:val="24"/>
            <w:u w:val="single"/>
            <w:lang w:eastAsia="es-CO"/>
          </w:rPr>
          <w:t>artículo 329</w:t>
        </w:r>
      </w:hyperlink>
      <w:r w:rsidRPr="002708E1">
        <w:rPr>
          <w:rFonts w:eastAsia="Times New Roman" w:cs="Times New Roman"/>
          <w:szCs w:val="24"/>
          <w:lang w:eastAsia="es-CO"/>
        </w:rPr>
        <w:t xml:space="preserve"> del Estatuto Tributario dispone que, entre otras circunstancias, </w:t>
      </w:r>
      <w:r w:rsidRPr="002708E1">
        <w:rPr>
          <w:rFonts w:eastAsia="Times New Roman" w:cs="Times New Roman"/>
          <w:i/>
          <w:iCs/>
          <w:szCs w:val="24"/>
          <w:lang w:eastAsia="es-CO"/>
        </w:rPr>
        <w:t xml:space="preserve">“[s]e entiende por empleado, toda persona natural residente en el país cuyos ingresos provengan, en una proporción igual o superior a un ochenta por ciento (80%), de la </w:t>
      </w:r>
      <w:r w:rsidRPr="002708E1">
        <w:rPr>
          <w:rFonts w:eastAsia="Times New Roman" w:cs="Times New Roman"/>
          <w:b/>
          <w:bCs/>
          <w:i/>
          <w:iCs/>
          <w:szCs w:val="24"/>
          <w:lang w:eastAsia="es-CO"/>
        </w:rPr>
        <w:t>prestación de servicios de manera personal</w:t>
      </w:r>
      <w:r w:rsidRPr="002708E1">
        <w:rPr>
          <w:rFonts w:eastAsia="Times New Roman" w:cs="Times New Roman"/>
          <w:i/>
          <w:iCs/>
          <w:szCs w:val="24"/>
          <w:lang w:eastAsia="es-CO"/>
        </w:rPr>
        <w:t xml:space="preserve">” </w:t>
      </w:r>
      <w:r w:rsidRPr="002708E1">
        <w:rPr>
          <w:rFonts w:eastAsia="Times New Roman" w:cs="Times New Roman"/>
          <w:szCs w:val="24"/>
          <w:lang w:eastAsia="es-CO"/>
        </w:rPr>
        <w:t>(negrilla fuera de texto).</w:t>
      </w:r>
    </w:p>
    <w:p w:rsidR="002708E1" w:rsidRPr="002708E1" w:rsidRDefault="002708E1" w:rsidP="002708E1">
      <w:pPr>
        <w:spacing w:after="0" w:line="240" w:lineRule="auto"/>
        <w:jc w:val="both"/>
        <w:rPr>
          <w:rFonts w:eastAsia="Times New Roman" w:cs="Times New Roman"/>
          <w:szCs w:val="24"/>
          <w:lang w:eastAsia="es-CO"/>
        </w:rPr>
      </w:pPr>
      <w:r w:rsidRPr="002708E1">
        <w:rPr>
          <w:rFonts w:eastAsia="Times New Roman" w:cs="Times New Roman"/>
          <w:szCs w:val="24"/>
          <w:lang w:eastAsia="es-CO"/>
        </w:rPr>
        <w:t> </w:t>
      </w:r>
    </w:p>
    <w:p w:rsidR="002708E1" w:rsidRPr="002708E1" w:rsidRDefault="002708E1" w:rsidP="002708E1">
      <w:pPr>
        <w:spacing w:after="0" w:line="240" w:lineRule="auto"/>
        <w:jc w:val="both"/>
        <w:rPr>
          <w:rFonts w:eastAsia="Times New Roman" w:cs="Times New Roman"/>
          <w:szCs w:val="24"/>
          <w:lang w:eastAsia="es-CO"/>
        </w:rPr>
      </w:pPr>
      <w:r w:rsidRPr="002708E1">
        <w:rPr>
          <w:rFonts w:eastAsia="Times New Roman" w:cs="Times New Roman"/>
          <w:szCs w:val="24"/>
          <w:lang w:eastAsia="es-CO"/>
        </w:rPr>
        <w:lastRenderedPageBreak/>
        <w:t xml:space="preserve">A su vez, el artículo 1° del Decreto número 3032 de 2013 define el servicio personal como </w:t>
      </w:r>
      <w:r w:rsidRPr="002708E1">
        <w:rPr>
          <w:rFonts w:eastAsia="Times New Roman" w:cs="Times New Roman"/>
          <w:i/>
          <w:iCs/>
          <w:szCs w:val="24"/>
          <w:lang w:eastAsia="es-CO"/>
        </w:rPr>
        <w:t xml:space="preserve">“toda actividad, labor o trabajo prestado directamente por una persona natural, que </w:t>
      </w:r>
      <w:r w:rsidRPr="002708E1">
        <w:rPr>
          <w:rFonts w:eastAsia="Times New Roman" w:cs="Times New Roman"/>
          <w:b/>
          <w:bCs/>
          <w:i/>
          <w:iCs/>
          <w:szCs w:val="24"/>
          <w:lang w:eastAsia="es-CO"/>
        </w:rPr>
        <w:t>se concreta en una obligación de hacer, sin importar que en la misma predomine el factor material o intelectual</w:t>
      </w:r>
      <w:r w:rsidRPr="002708E1">
        <w:rPr>
          <w:rFonts w:eastAsia="Times New Roman" w:cs="Times New Roman"/>
          <w:i/>
          <w:iCs/>
          <w:szCs w:val="24"/>
          <w:lang w:eastAsia="es-CO"/>
        </w:rPr>
        <w:t xml:space="preserve">, y que genera una contraprestación en dinero o en especie, independientemente de su denominación o forma de remuneración” </w:t>
      </w:r>
      <w:r w:rsidRPr="002708E1">
        <w:rPr>
          <w:rFonts w:eastAsia="Times New Roman" w:cs="Times New Roman"/>
          <w:szCs w:val="24"/>
          <w:lang w:eastAsia="es-CO"/>
        </w:rPr>
        <w:t>(negrilla fuera de texto).</w:t>
      </w:r>
    </w:p>
    <w:p w:rsidR="002708E1" w:rsidRPr="002708E1" w:rsidRDefault="002708E1" w:rsidP="002708E1">
      <w:pPr>
        <w:spacing w:after="0" w:line="240" w:lineRule="auto"/>
        <w:jc w:val="both"/>
        <w:rPr>
          <w:rFonts w:eastAsia="Times New Roman" w:cs="Times New Roman"/>
          <w:szCs w:val="24"/>
          <w:lang w:eastAsia="es-CO"/>
        </w:rPr>
      </w:pPr>
      <w:r w:rsidRPr="002708E1">
        <w:rPr>
          <w:rFonts w:eastAsia="Times New Roman" w:cs="Times New Roman"/>
          <w:szCs w:val="24"/>
          <w:lang w:eastAsia="es-CO"/>
        </w:rPr>
        <w:t> </w:t>
      </w:r>
    </w:p>
    <w:p w:rsidR="002708E1" w:rsidRPr="002708E1" w:rsidRDefault="002708E1" w:rsidP="002708E1">
      <w:pPr>
        <w:spacing w:after="0" w:line="240" w:lineRule="auto"/>
        <w:jc w:val="both"/>
        <w:rPr>
          <w:rFonts w:eastAsia="Times New Roman" w:cs="Times New Roman"/>
          <w:szCs w:val="24"/>
          <w:lang w:eastAsia="es-CO"/>
        </w:rPr>
      </w:pPr>
      <w:r w:rsidRPr="002708E1">
        <w:rPr>
          <w:rFonts w:eastAsia="Times New Roman" w:cs="Times New Roman"/>
          <w:szCs w:val="24"/>
          <w:lang w:eastAsia="es-CO"/>
        </w:rPr>
        <w:t>Luego, toda vez que el pago de honorarios a los miembros de la junta directiva surge precisamente como contraprestación por los servicios que aquellos suministran a la sociedad, es palmario que su clasificación tributaria para efectos del impuesto sobre la renta y complementarios corresponde a la de empleado en las condiciones previstas por la norma reseñada. En otras palabras, no es viable considerar que el pago consultado no se origina en la prestación de un servicio personal.</w:t>
      </w:r>
    </w:p>
    <w:p w:rsidR="002708E1" w:rsidRPr="002708E1" w:rsidRDefault="002708E1" w:rsidP="002708E1">
      <w:pPr>
        <w:spacing w:after="0" w:line="240" w:lineRule="auto"/>
        <w:jc w:val="both"/>
        <w:rPr>
          <w:rFonts w:eastAsia="Times New Roman" w:cs="Times New Roman"/>
          <w:szCs w:val="24"/>
          <w:lang w:eastAsia="es-CO"/>
        </w:rPr>
      </w:pPr>
      <w:r w:rsidRPr="002708E1">
        <w:rPr>
          <w:rFonts w:eastAsia="Times New Roman" w:cs="Times New Roman"/>
          <w:szCs w:val="24"/>
          <w:lang w:eastAsia="es-CO"/>
        </w:rPr>
        <w:t> </w:t>
      </w:r>
    </w:p>
    <w:p w:rsidR="002708E1" w:rsidRPr="002708E1" w:rsidRDefault="002708E1" w:rsidP="002708E1">
      <w:pPr>
        <w:spacing w:after="0" w:line="240" w:lineRule="auto"/>
        <w:jc w:val="both"/>
        <w:rPr>
          <w:rFonts w:eastAsia="Times New Roman" w:cs="Times New Roman"/>
          <w:szCs w:val="24"/>
          <w:lang w:eastAsia="es-CO"/>
        </w:rPr>
      </w:pPr>
      <w:r w:rsidRPr="002708E1">
        <w:rPr>
          <w:rFonts w:eastAsia="Times New Roman" w:cs="Times New Roman"/>
          <w:szCs w:val="24"/>
          <w:lang w:eastAsia="es-CO"/>
        </w:rPr>
        <w:t xml:space="preserve">No sobra indicar que únicamente se clasifica como trabajador por cuenta propia la </w:t>
      </w:r>
      <w:r w:rsidRPr="002708E1">
        <w:rPr>
          <w:rFonts w:eastAsia="Times New Roman" w:cs="Times New Roman"/>
          <w:i/>
          <w:iCs/>
          <w:szCs w:val="24"/>
          <w:lang w:eastAsia="es-CO"/>
        </w:rPr>
        <w:t xml:space="preserve">“persona natural residente en el país cuyos ingresos provengan en una proporción igual o superior a un ochenta por ciento (80%) de la realización de una de </w:t>
      </w:r>
      <w:r w:rsidRPr="002708E1">
        <w:rPr>
          <w:rFonts w:eastAsia="Times New Roman" w:cs="Times New Roman"/>
          <w:b/>
          <w:bCs/>
          <w:i/>
          <w:iCs/>
          <w:szCs w:val="24"/>
          <w:lang w:eastAsia="es-CO"/>
        </w:rPr>
        <w:t>las actividades económicas señaladas en el Capítulo II del Título V del Libro I del Estatuto Tributario</w:t>
      </w:r>
      <w:r w:rsidRPr="002708E1">
        <w:rPr>
          <w:rFonts w:eastAsia="Times New Roman" w:cs="Times New Roman"/>
          <w:i/>
          <w:iCs/>
          <w:szCs w:val="24"/>
          <w:lang w:eastAsia="es-CO"/>
        </w:rPr>
        <w:t xml:space="preserve">” </w:t>
      </w:r>
      <w:r w:rsidRPr="002708E1">
        <w:rPr>
          <w:rFonts w:eastAsia="Times New Roman" w:cs="Times New Roman"/>
          <w:szCs w:val="24"/>
          <w:lang w:eastAsia="es-CO"/>
        </w:rPr>
        <w:t>(negrilla fuera de texto).</w:t>
      </w:r>
    </w:p>
    <w:p w:rsidR="002708E1" w:rsidRPr="002708E1" w:rsidRDefault="002708E1" w:rsidP="002708E1">
      <w:pPr>
        <w:spacing w:after="0" w:line="240" w:lineRule="auto"/>
        <w:jc w:val="both"/>
        <w:rPr>
          <w:rFonts w:eastAsia="Times New Roman" w:cs="Times New Roman"/>
          <w:szCs w:val="24"/>
          <w:lang w:eastAsia="es-CO"/>
        </w:rPr>
      </w:pPr>
      <w:r w:rsidRPr="002708E1">
        <w:rPr>
          <w:rFonts w:eastAsia="Times New Roman" w:cs="Times New Roman"/>
          <w:szCs w:val="24"/>
          <w:lang w:eastAsia="es-CO"/>
        </w:rPr>
        <w:t> </w:t>
      </w:r>
    </w:p>
    <w:p w:rsidR="002708E1" w:rsidRPr="002708E1" w:rsidRDefault="002708E1" w:rsidP="002708E1">
      <w:pPr>
        <w:spacing w:after="0" w:line="240" w:lineRule="auto"/>
        <w:jc w:val="both"/>
        <w:rPr>
          <w:rFonts w:eastAsia="Times New Roman" w:cs="Times New Roman"/>
          <w:b/>
          <w:szCs w:val="24"/>
          <w:lang w:eastAsia="es-CO"/>
        </w:rPr>
      </w:pPr>
      <w:r w:rsidRPr="002708E1">
        <w:rPr>
          <w:rFonts w:eastAsia="Times New Roman" w:cs="Times New Roman"/>
          <w:b/>
          <w:szCs w:val="24"/>
          <w:lang w:eastAsia="es-CO"/>
        </w:rPr>
        <w:t xml:space="preserve">2. Si un miembro de la junta directiva, además de prestar sus servicios en condición de tal, desarrolla otros diferentes a favor de la misma sociedad, ¿los ingresos de unos y otros servicios deben computarse para el cálculo de los pagos mensuales o </w:t>
      </w:r>
      <w:proofErr w:type="spellStart"/>
      <w:r w:rsidRPr="002708E1">
        <w:rPr>
          <w:rFonts w:eastAsia="Times New Roman" w:cs="Times New Roman"/>
          <w:b/>
          <w:szCs w:val="24"/>
          <w:lang w:eastAsia="es-CO"/>
        </w:rPr>
        <w:t>mensualizados</w:t>
      </w:r>
      <w:proofErr w:type="spellEnd"/>
      <w:r w:rsidRPr="002708E1">
        <w:rPr>
          <w:rFonts w:eastAsia="Times New Roman" w:cs="Times New Roman"/>
          <w:b/>
          <w:szCs w:val="24"/>
          <w:lang w:eastAsia="es-CO"/>
        </w:rPr>
        <w:t xml:space="preserve"> de que trata el </w:t>
      </w:r>
      <w:hyperlink r:id="rId8" w:tooltip="Estatuto Tributario CETA" w:history="1">
        <w:r w:rsidRPr="002708E1">
          <w:rPr>
            <w:rFonts w:eastAsia="Times New Roman" w:cs="Times New Roman"/>
            <w:b/>
            <w:szCs w:val="24"/>
            <w:u w:val="single"/>
            <w:lang w:eastAsia="es-CO"/>
          </w:rPr>
          <w:t>artículo 384</w:t>
        </w:r>
      </w:hyperlink>
      <w:r w:rsidRPr="002708E1">
        <w:rPr>
          <w:rFonts w:eastAsia="Times New Roman" w:cs="Times New Roman"/>
          <w:b/>
          <w:szCs w:val="24"/>
          <w:lang w:eastAsia="es-CO"/>
        </w:rPr>
        <w:t xml:space="preserve"> del Estatuto Tributario?</w:t>
      </w:r>
    </w:p>
    <w:p w:rsidR="002708E1" w:rsidRPr="002708E1" w:rsidRDefault="002708E1" w:rsidP="002708E1">
      <w:pPr>
        <w:spacing w:after="0" w:line="240" w:lineRule="auto"/>
        <w:jc w:val="both"/>
        <w:rPr>
          <w:rFonts w:eastAsia="Times New Roman" w:cs="Times New Roman"/>
          <w:szCs w:val="24"/>
          <w:lang w:eastAsia="es-CO"/>
        </w:rPr>
      </w:pPr>
      <w:r w:rsidRPr="002708E1">
        <w:rPr>
          <w:rFonts w:eastAsia="Times New Roman" w:cs="Times New Roman"/>
          <w:szCs w:val="24"/>
          <w:lang w:eastAsia="es-CO"/>
        </w:rPr>
        <w:t> </w:t>
      </w:r>
    </w:p>
    <w:p w:rsidR="002708E1" w:rsidRPr="002708E1" w:rsidRDefault="002708E1" w:rsidP="002708E1">
      <w:pPr>
        <w:spacing w:after="0" w:line="240" w:lineRule="auto"/>
        <w:jc w:val="both"/>
        <w:rPr>
          <w:rFonts w:eastAsia="Times New Roman" w:cs="Times New Roman"/>
          <w:szCs w:val="24"/>
          <w:lang w:eastAsia="es-CO"/>
        </w:rPr>
      </w:pPr>
      <w:r w:rsidRPr="002708E1">
        <w:rPr>
          <w:rFonts w:eastAsia="Times New Roman" w:cs="Times New Roman"/>
          <w:szCs w:val="24"/>
          <w:lang w:eastAsia="es-CO"/>
        </w:rPr>
        <w:t xml:space="preserve">De manera previa, es preciso señalar que la tabla de retención en la fuente contemplada en el </w:t>
      </w:r>
      <w:hyperlink r:id="rId9" w:tooltip="Estatuto Tributario CETA" w:history="1">
        <w:r w:rsidRPr="002708E1">
          <w:rPr>
            <w:rFonts w:eastAsia="Times New Roman" w:cs="Times New Roman"/>
            <w:szCs w:val="24"/>
            <w:u w:val="single"/>
            <w:lang w:eastAsia="es-CO"/>
          </w:rPr>
          <w:t>artículo 384</w:t>
        </w:r>
      </w:hyperlink>
      <w:r w:rsidRPr="002708E1">
        <w:rPr>
          <w:rFonts w:eastAsia="Times New Roman" w:cs="Times New Roman"/>
          <w:szCs w:val="24"/>
          <w:lang w:eastAsia="es-CO"/>
        </w:rPr>
        <w:t xml:space="preserve"> del Estatuto Tributario </w:t>
      </w:r>
      <w:r w:rsidRPr="002708E1">
        <w:rPr>
          <w:rFonts w:eastAsia="Times New Roman" w:cs="Times New Roman"/>
          <w:i/>
          <w:iCs/>
          <w:szCs w:val="24"/>
          <w:lang w:eastAsia="es-CO"/>
        </w:rPr>
        <w:t xml:space="preserve">“solamente será aplicable a </w:t>
      </w:r>
      <w:r w:rsidRPr="002708E1">
        <w:rPr>
          <w:rFonts w:eastAsia="Times New Roman" w:cs="Times New Roman"/>
          <w:b/>
          <w:bCs/>
          <w:i/>
          <w:iCs/>
          <w:szCs w:val="24"/>
          <w:lang w:eastAsia="es-CO"/>
        </w:rPr>
        <w:t>los trabajadores empleados que sean contribuyentes declarantes del Impuesto sobre la Renta y Complementarios</w:t>
      </w:r>
      <w:r w:rsidRPr="002708E1">
        <w:rPr>
          <w:rFonts w:eastAsia="Times New Roman" w:cs="Times New Roman"/>
          <w:i/>
          <w:iCs/>
          <w:szCs w:val="24"/>
          <w:lang w:eastAsia="es-CO"/>
        </w:rPr>
        <w:t xml:space="preserve">” </w:t>
      </w:r>
      <w:r w:rsidRPr="002708E1">
        <w:rPr>
          <w:rFonts w:eastAsia="Times New Roman" w:cs="Times New Roman"/>
          <w:szCs w:val="24"/>
          <w:lang w:eastAsia="es-CO"/>
        </w:rPr>
        <w:t>(negrilla fuera de texto), como en efecto lo dispone el parágrafo 3° de la misma norma.</w:t>
      </w:r>
    </w:p>
    <w:p w:rsidR="002708E1" w:rsidRPr="002708E1" w:rsidRDefault="002708E1" w:rsidP="002708E1">
      <w:pPr>
        <w:spacing w:after="0" w:line="240" w:lineRule="auto"/>
        <w:jc w:val="both"/>
        <w:rPr>
          <w:rFonts w:eastAsia="Times New Roman" w:cs="Times New Roman"/>
          <w:szCs w:val="24"/>
          <w:lang w:eastAsia="es-CO"/>
        </w:rPr>
      </w:pPr>
      <w:r w:rsidRPr="002708E1">
        <w:rPr>
          <w:rFonts w:eastAsia="Times New Roman" w:cs="Times New Roman"/>
          <w:szCs w:val="24"/>
          <w:lang w:eastAsia="es-CO"/>
        </w:rPr>
        <w:t> </w:t>
      </w:r>
    </w:p>
    <w:p w:rsidR="002708E1" w:rsidRPr="002708E1" w:rsidRDefault="002708E1" w:rsidP="002708E1">
      <w:pPr>
        <w:spacing w:after="0" w:line="240" w:lineRule="auto"/>
        <w:jc w:val="both"/>
        <w:rPr>
          <w:rFonts w:eastAsia="Times New Roman" w:cs="Times New Roman"/>
          <w:szCs w:val="24"/>
          <w:lang w:eastAsia="es-CO"/>
        </w:rPr>
      </w:pPr>
      <w:r w:rsidRPr="002708E1">
        <w:rPr>
          <w:rFonts w:eastAsia="Times New Roman" w:cs="Times New Roman"/>
          <w:szCs w:val="24"/>
          <w:lang w:eastAsia="es-CO"/>
        </w:rPr>
        <w:t xml:space="preserve">Por su parte, el artículo 7° del Decreto número 1070 de 2013 apareja que </w:t>
      </w:r>
      <w:r w:rsidRPr="002708E1">
        <w:rPr>
          <w:rFonts w:eastAsia="Times New Roman" w:cs="Times New Roman"/>
          <w:i/>
          <w:iCs/>
          <w:szCs w:val="24"/>
          <w:lang w:eastAsia="es-CO"/>
        </w:rPr>
        <w:t xml:space="preserve">“[p]ara efectos de la retención en la fuente mínima a que se refiere el </w:t>
      </w:r>
      <w:hyperlink r:id="rId10" w:tooltip="Estatuto Tributario CETA" w:history="1">
        <w:r w:rsidRPr="002708E1">
          <w:rPr>
            <w:rFonts w:eastAsia="Times New Roman" w:cs="Times New Roman"/>
            <w:i/>
            <w:iCs/>
            <w:szCs w:val="24"/>
            <w:u w:val="single"/>
            <w:lang w:eastAsia="es-CO"/>
          </w:rPr>
          <w:t>artículo 384</w:t>
        </w:r>
      </w:hyperlink>
      <w:r w:rsidRPr="002708E1">
        <w:rPr>
          <w:rFonts w:eastAsia="Times New Roman" w:cs="Times New Roman"/>
          <w:i/>
          <w:iCs/>
          <w:szCs w:val="24"/>
          <w:lang w:eastAsia="es-CO"/>
        </w:rPr>
        <w:t xml:space="preserve"> del Estatuto Tributario, </w:t>
      </w:r>
      <w:r w:rsidRPr="002708E1">
        <w:rPr>
          <w:rFonts w:eastAsia="Times New Roman" w:cs="Times New Roman"/>
          <w:b/>
          <w:bCs/>
          <w:i/>
          <w:iCs/>
          <w:szCs w:val="24"/>
          <w:lang w:eastAsia="es-CO"/>
        </w:rPr>
        <w:t xml:space="preserve">el cálculo de los pagos </w:t>
      </w:r>
      <w:proofErr w:type="spellStart"/>
      <w:r w:rsidRPr="002708E1">
        <w:rPr>
          <w:rFonts w:eastAsia="Times New Roman" w:cs="Times New Roman"/>
          <w:b/>
          <w:bCs/>
          <w:i/>
          <w:iCs/>
          <w:szCs w:val="24"/>
          <w:lang w:eastAsia="es-CO"/>
        </w:rPr>
        <w:t>mensualizados</w:t>
      </w:r>
      <w:proofErr w:type="spellEnd"/>
      <w:r w:rsidRPr="002708E1">
        <w:rPr>
          <w:rFonts w:eastAsia="Times New Roman" w:cs="Times New Roman"/>
          <w:b/>
          <w:bCs/>
          <w:i/>
          <w:iCs/>
          <w:szCs w:val="24"/>
          <w:lang w:eastAsia="es-CO"/>
        </w:rPr>
        <w:t xml:space="preserve"> solo será aplicable a los no originados en una relación laboral, o legal y reglamentaria</w:t>
      </w:r>
      <w:r w:rsidRPr="002708E1">
        <w:rPr>
          <w:rFonts w:eastAsia="Times New Roman" w:cs="Times New Roman"/>
          <w:i/>
          <w:iCs/>
          <w:szCs w:val="24"/>
          <w:lang w:eastAsia="es-CO"/>
        </w:rPr>
        <w:t xml:space="preserve">” </w:t>
      </w:r>
      <w:r w:rsidRPr="002708E1">
        <w:rPr>
          <w:rFonts w:eastAsia="Times New Roman" w:cs="Times New Roman"/>
          <w:szCs w:val="24"/>
          <w:lang w:eastAsia="es-CO"/>
        </w:rPr>
        <w:t>(negrilla fuera de texto).</w:t>
      </w:r>
    </w:p>
    <w:p w:rsidR="002708E1" w:rsidRPr="002708E1" w:rsidRDefault="002708E1" w:rsidP="002708E1">
      <w:pPr>
        <w:spacing w:after="0" w:line="240" w:lineRule="auto"/>
        <w:jc w:val="both"/>
        <w:rPr>
          <w:rFonts w:eastAsia="Times New Roman" w:cs="Times New Roman"/>
          <w:szCs w:val="24"/>
          <w:lang w:eastAsia="es-CO"/>
        </w:rPr>
      </w:pPr>
      <w:r w:rsidRPr="002708E1">
        <w:rPr>
          <w:rFonts w:eastAsia="Times New Roman" w:cs="Times New Roman"/>
          <w:szCs w:val="24"/>
          <w:lang w:eastAsia="es-CO"/>
        </w:rPr>
        <w:t> </w:t>
      </w:r>
    </w:p>
    <w:p w:rsidR="002708E1" w:rsidRPr="002708E1" w:rsidRDefault="002708E1" w:rsidP="002708E1">
      <w:pPr>
        <w:spacing w:after="0" w:line="240" w:lineRule="auto"/>
        <w:jc w:val="both"/>
        <w:rPr>
          <w:rFonts w:eastAsia="Times New Roman" w:cs="Times New Roman"/>
          <w:szCs w:val="24"/>
          <w:lang w:eastAsia="es-CO"/>
        </w:rPr>
      </w:pPr>
      <w:r w:rsidRPr="002708E1">
        <w:rPr>
          <w:rFonts w:eastAsia="Times New Roman" w:cs="Times New Roman"/>
          <w:szCs w:val="24"/>
          <w:lang w:eastAsia="es-CO"/>
        </w:rPr>
        <w:t xml:space="preserve">Ahora bien, tanto el parágrafo 1° del </w:t>
      </w:r>
      <w:hyperlink r:id="rId11" w:tooltip="Estatuto Tributario CETA" w:history="1">
        <w:r w:rsidRPr="002708E1">
          <w:rPr>
            <w:rFonts w:eastAsia="Times New Roman" w:cs="Times New Roman"/>
            <w:szCs w:val="24"/>
            <w:u w:val="single"/>
            <w:lang w:eastAsia="es-CO"/>
          </w:rPr>
          <w:t>artículo 384</w:t>
        </w:r>
      </w:hyperlink>
      <w:r w:rsidRPr="002708E1">
        <w:rPr>
          <w:rFonts w:eastAsia="Times New Roman" w:cs="Times New Roman"/>
          <w:szCs w:val="24"/>
          <w:lang w:eastAsia="es-CO"/>
        </w:rPr>
        <w:t xml:space="preserve"> </w:t>
      </w:r>
      <w:r w:rsidRPr="002708E1">
        <w:rPr>
          <w:rFonts w:eastAsia="Times New Roman" w:cs="Times New Roman"/>
          <w:i/>
          <w:iCs/>
          <w:szCs w:val="24"/>
          <w:lang w:eastAsia="es-CO"/>
        </w:rPr>
        <w:t xml:space="preserve">ibídem </w:t>
      </w:r>
      <w:r w:rsidRPr="002708E1">
        <w:rPr>
          <w:rFonts w:eastAsia="Times New Roman" w:cs="Times New Roman"/>
          <w:szCs w:val="24"/>
          <w:lang w:eastAsia="es-CO"/>
        </w:rPr>
        <w:t xml:space="preserve">como el parágrafo 1° del artículo 3° del Decreto 99 de 2013 establecen que </w:t>
      </w:r>
      <w:r w:rsidRPr="002708E1">
        <w:rPr>
          <w:rFonts w:eastAsia="Times New Roman" w:cs="Times New Roman"/>
          <w:i/>
          <w:iCs/>
          <w:szCs w:val="24"/>
          <w:lang w:eastAsia="es-CO"/>
        </w:rPr>
        <w:t xml:space="preserve">“el término ‘pagos </w:t>
      </w:r>
      <w:proofErr w:type="spellStart"/>
      <w:r w:rsidRPr="002708E1">
        <w:rPr>
          <w:rFonts w:eastAsia="Times New Roman" w:cs="Times New Roman"/>
          <w:i/>
          <w:iCs/>
          <w:szCs w:val="24"/>
          <w:lang w:eastAsia="es-CO"/>
        </w:rPr>
        <w:t>mensualizados</w:t>
      </w:r>
      <w:proofErr w:type="spellEnd"/>
      <w:r w:rsidRPr="002708E1">
        <w:rPr>
          <w:rFonts w:eastAsia="Times New Roman" w:cs="Times New Roman"/>
          <w:i/>
          <w:iCs/>
          <w:szCs w:val="24"/>
          <w:lang w:eastAsia="es-CO"/>
        </w:rPr>
        <w:t xml:space="preserve">’ se refiere a la operación de tomar </w:t>
      </w:r>
      <w:r w:rsidRPr="002708E1">
        <w:rPr>
          <w:rFonts w:eastAsia="Times New Roman" w:cs="Times New Roman"/>
          <w:b/>
          <w:bCs/>
          <w:i/>
          <w:iCs/>
          <w:szCs w:val="24"/>
          <w:lang w:eastAsia="es-CO"/>
        </w:rPr>
        <w:t>el monto total del valor del contrato menos los respectivos aportes obligatorios a salud y pensiones, y dividirlo por el número de meses de vigencia del mismo</w:t>
      </w:r>
      <w:r w:rsidRPr="002708E1">
        <w:rPr>
          <w:rFonts w:eastAsia="Times New Roman" w:cs="Times New Roman"/>
          <w:i/>
          <w:iCs/>
          <w:szCs w:val="24"/>
          <w:lang w:eastAsia="es-CO"/>
        </w:rPr>
        <w:t xml:space="preserve">” </w:t>
      </w:r>
      <w:r w:rsidRPr="002708E1">
        <w:rPr>
          <w:rFonts w:eastAsia="Times New Roman" w:cs="Times New Roman"/>
          <w:szCs w:val="24"/>
          <w:lang w:eastAsia="es-CO"/>
        </w:rPr>
        <w:t>(negrilla fuera de texto).</w:t>
      </w:r>
    </w:p>
    <w:p w:rsidR="002708E1" w:rsidRPr="002708E1" w:rsidRDefault="002708E1" w:rsidP="002708E1">
      <w:pPr>
        <w:spacing w:after="0" w:line="240" w:lineRule="auto"/>
        <w:jc w:val="both"/>
        <w:rPr>
          <w:rFonts w:eastAsia="Times New Roman" w:cs="Times New Roman"/>
          <w:szCs w:val="24"/>
          <w:lang w:eastAsia="es-CO"/>
        </w:rPr>
      </w:pPr>
      <w:r w:rsidRPr="002708E1">
        <w:rPr>
          <w:rFonts w:eastAsia="Times New Roman" w:cs="Times New Roman"/>
          <w:szCs w:val="24"/>
          <w:lang w:eastAsia="es-CO"/>
        </w:rPr>
        <w:t> </w:t>
      </w:r>
    </w:p>
    <w:p w:rsidR="002708E1" w:rsidRPr="002708E1" w:rsidRDefault="002708E1" w:rsidP="002708E1">
      <w:pPr>
        <w:spacing w:after="0" w:line="240" w:lineRule="auto"/>
        <w:jc w:val="both"/>
        <w:rPr>
          <w:rFonts w:eastAsia="Times New Roman" w:cs="Times New Roman"/>
          <w:b/>
          <w:szCs w:val="24"/>
          <w:u w:val="single"/>
          <w:lang w:eastAsia="es-CO"/>
        </w:rPr>
      </w:pPr>
      <w:r w:rsidRPr="002708E1">
        <w:rPr>
          <w:rFonts w:eastAsia="Times New Roman" w:cs="Times New Roman"/>
          <w:szCs w:val="24"/>
          <w:lang w:eastAsia="es-CO"/>
        </w:rPr>
        <w:t xml:space="preserve">De la lectura de lo anterior y haciendo uso del método hermenéutico consagrado en el artículo 27 del Código Civil – cuando el sentido de la ley sea claro, no se desatenderá su tenor literal a pretexto de consultar su espíritu – </w:t>
      </w:r>
      <w:r w:rsidRPr="002708E1">
        <w:rPr>
          <w:rFonts w:eastAsia="Times New Roman" w:cs="Times New Roman"/>
          <w:b/>
          <w:szCs w:val="24"/>
          <w:u w:val="single"/>
          <w:lang w:eastAsia="es-CO"/>
        </w:rPr>
        <w:t xml:space="preserve">se colige entonces que, en el evento analizado, se debe calcular por cada contrato suscrito con la sociedad el pago mensual o </w:t>
      </w:r>
      <w:proofErr w:type="spellStart"/>
      <w:r w:rsidRPr="002708E1">
        <w:rPr>
          <w:rFonts w:eastAsia="Times New Roman" w:cs="Times New Roman"/>
          <w:b/>
          <w:szCs w:val="24"/>
          <w:u w:val="single"/>
          <w:lang w:eastAsia="es-CO"/>
        </w:rPr>
        <w:t>mensualizado</w:t>
      </w:r>
      <w:proofErr w:type="spellEnd"/>
      <w:r w:rsidRPr="002708E1">
        <w:rPr>
          <w:rFonts w:eastAsia="Times New Roman" w:cs="Times New Roman"/>
          <w:b/>
          <w:szCs w:val="24"/>
          <w:u w:val="single"/>
          <w:lang w:eastAsia="es-CO"/>
        </w:rPr>
        <w:t xml:space="preserve"> correspondiente.</w:t>
      </w:r>
    </w:p>
    <w:p w:rsidR="002708E1" w:rsidRPr="002708E1" w:rsidRDefault="002708E1" w:rsidP="002708E1">
      <w:pPr>
        <w:spacing w:after="0" w:line="240" w:lineRule="auto"/>
        <w:jc w:val="both"/>
        <w:rPr>
          <w:rFonts w:eastAsia="Times New Roman" w:cs="Times New Roman"/>
          <w:szCs w:val="24"/>
          <w:lang w:eastAsia="es-CO"/>
        </w:rPr>
      </w:pPr>
      <w:r w:rsidRPr="002708E1">
        <w:rPr>
          <w:rFonts w:eastAsia="Times New Roman" w:cs="Times New Roman"/>
          <w:szCs w:val="24"/>
          <w:lang w:eastAsia="es-CO"/>
        </w:rPr>
        <w:lastRenderedPageBreak/>
        <w:t> </w:t>
      </w:r>
    </w:p>
    <w:p w:rsidR="002708E1" w:rsidRPr="002708E1" w:rsidRDefault="002708E1" w:rsidP="002708E1">
      <w:pPr>
        <w:spacing w:after="0" w:line="240" w:lineRule="auto"/>
        <w:jc w:val="both"/>
        <w:rPr>
          <w:rFonts w:eastAsia="Times New Roman" w:cs="Times New Roman"/>
          <w:szCs w:val="24"/>
          <w:lang w:eastAsia="es-CO"/>
        </w:rPr>
      </w:pPr>
      <w:r w:rsidRPr="002708E1">
        <w:rPr>
          <w:rFonts w:eastAsia="Times New Roman" w:cs="Times New Roman"/>
          <w:szCs w:val="24"/>
          <w:lang w:eastAsia="es-CO"/>
        </w:rPr>
        <w:t xml:space="preserve">Esta conclusión cobra mayor fuerza a partir del siguiente razonamiento: Si se imagina, a modo de ejemplo, que una persona natural ha celebrado varios contratos de prestación de servicios con diferente vigencia con un mismo contratante y se pretendiera computar el monto de cada uno para obtener un único pago </w:t>
      </w:r>
      <w:proofErr w:type="spellStart"/>
      <w:r w:rsidRPr="002708E1">
        <w:rPr>
          <w:rFonts w:eastAsia="Times New Roman" w:cs="Times New Roman"/>
          <w:szCs w:val="24"/>
          <w:lang w:eastAsia="es-CO"/>
        </w:rPr>
        <w:t>mensualizado</w:t>
      </w:r>
      <w:proofErr w:type="spellEnd"/>
      <w:r w:rsidRPr="002708E1">
        <w:rPr>
          <w:rFonts w:eastAsia="Times New Roman" w:cs="Times New Roman"/>
          <w:szCs w:val="24"/>
          <w:lang w:eastAsia="es-CO"/>
        </w:rPr>
        <w:t xml:space="preserve"> con miras a calcular la retención en la fuente mínima, el agente retenedor tropezaría con el inconveniente de determinar cuál de todas las vigencias aplicar en el cálculo aritmético de que tratan los parágrafos 1° del </w:t>
      </w:r>
      <w:hyperlink r:id="rId12" w:tooltip="Estatuto Tributario CETA" w:history="1">
        <w:r w:rsidRPr="002708E1">
          <w:rPr>
            <w:rFonts w:eastAsia="Times New Roman" w:cs="Times New Roman"/>
            <w:szCs w:val="24"/>
            <w:u w:val="single"/>
            <w:lang w:eastAsia="es-CO"/>
          </w:rPr>
          <w:t>artículo 384</w:t>
        </w:r>
      </w:hyperlink>
      <w:r w:rsidRPr="002708E1">
        <w:rPr>
          <w:rFonts w:eastAsia="Times New Roman" w:cs="Times New Roman"/>
          <w:szCs w:val="24"/>
          <w:lang w:eastAsia="es-CO"/>
        </w:rPr>
        <w:t xml:space="preserve"> </w:t>
      </w:r>
      <w:r w:rsidRPr="002708E1">
        <w:rPr>
          <w:rFonts w:eastAsia="Times New Roman" w:cs="Times New Roman"/>
          <w:i/>
          <w:iCs/>
          <w:szCs w:val="24"/>
          <w:lang w:eastAsia="es-CO"/>
        </w:rPr>
        <w:t xml:space="preserve">ibídem </w:t>
      </w:r>
      <w:r w:rsidRPr="002708E1">
        <w:rPr>
          <w:rFonts w:eastAsia="Times New Roman" w:cs="Times New Roman"/>
          <w:szCs w:val="24"/>
          <w:lang w:eastAsia="es-CO"/>
        </w:rPr>
        <w:t>y del artículo 3° del Decreto número 99 de 2013, pues, dicho sea de paso, no existe fundamento jurídico que permita optar por la mayor o menor vigencia de los contratos celebrados.</w:t>
      </w:r>
    </w:p>
    <w:p w:rsidR="002708E1" w:rsidRPr="002708E1" w:rsidRDefault="002708E1" w:rsidP="002708E1">
      <w:pPr>
        <w:spacing w:after="0" w:line="240" w:lineRule="auto"/>
        <w:jc w:val="both"/>
        <w:rPr>
          <w:rFonts w:eastAsia="Times New Roman" w:cs="Times New Roman"/>
          <w:szCs w:val="24"/>
          <w:lang w:eastAsia="es-CO"/>
        </w:rPr>
      </w:pPr>
      <w:r w:rsidRPr="002708E1">
        <w:rPr>
          <w:rFonts w:eastAsia="Times New Roman" w:cs="Times New Roman"/>
          <w:szCs w:val="24"/>
          <w:lang w:eastAsia="es-CO"/>
        </w:rPr>
        <w:t> </w:t>
      </w:r>
    </w:p>
    <w:p w:rsidR="002708E1" w:rsidRPr="002708E1" w:rsidRDefault="002708E1" w:rsidP="002708E1">
      <w:pPr>
        <w:spacing w:after="0" w:line="240" w:lineRule="auto"/>
        <w:jc w:val="both"/>
        <w:rPr>
          <w:rFonts w:eastAsia="Times New Roman" w:cs="Times New Roman"/>
          <w:szCs w:val="24"/>
          <w:lang w:eastAsia="es-CO"/>
        </w:rPr>
      </w:pPr>
      <w:r w:rsidRPr="002708E1">
        <w:rPr>
          <w:rFonts w:eastAsia="Times New Roman" w:cs="Times New Roman"/>
          <w:szCs w:val="24"/>
          <w:lang w:eastAsia="es-CO"/>
        </w:rPr>
        <w:t xml:space="preserve">En cuanto a la pregunta </w:t>
      </w:r>
      <w:r w:rsidRPr="002708E1">
        <w:rPr>
          <w:rFonts w:eastAsia="Times New Roman" w:cs="Times New Roman"/>
          <w:i/>
          <w:iCs/>
          <w:szCs w:val="24"/>
          <w:lang w:eastAsia="es-CO"/>
        </w:rPr>
        <w:t xml:space="preserve">“¿Podría la Junta Directiva de una compañía, en su autonomía, modificar la </w:t>
      </w:r>
      <w:r w:rsidRPr="002708E1">
        <w:rPr>
          <w:rFonts w:eastAsia="Times New Roman" w:cs="Times New Roman"/>
          <w:szCs w:val="24"/>
          <w:lang w:eastAsia="es-CO"/>
        </w:rPr>
        <w:t xml:space="preserve">denominación </w:t>
      </w:r>
      <w:r w:rsidRPr="002708E1">
        <w:rPr>
          <w:rFonts w:eastAsia="Times New Roman" w:cs="Times New Roman"/>
          <w:i/>
          <w:iCs/>
          <w:szCs w:val="24"/>
          <w:lang w:eastAsia="es-CO"/>
        </w:rPr>
        <w:t>de este beneficio para sus integrantes, en su reglamento interno?” (sic)</w:t>
      </w:r>
      <w:r w:rsidRPr="002708E1">
        <w:rPr>
          <w:rFonts w:eastAsia="Times New Roman" w:cs="Times New Roman"/>
          <w:szCs w:val="24"/>
          <w:lang w:eastAsia="es-CO"/>
        </w:rPr>
        <w:t>, ya que no corresponde a la interpretación o aplicación de una norma tributaria, aduanera o cambiaria de competencia de esta entidad, se trasladará a la Oficina Asesora Jurídica de la Superintendencia de Sociedades acorde con los artículos 7° y 11 del Decreto número 1023 de 2012.</w:t>
      </w:r>
    </w:p>
    <w:p w:rsidR="002708E1" w:rsidRPr="002708E1" w:rsidRDefault="002708E1" w:rsidP="002708E1">
      <w:pPr>
        <w:spacing w:after="0" w:line="240" w:lineRule="auto"/>
        <w:jc w:val="both"/>
        <w:rPr>
          <w:rFonts w:eastAsia="Times New Roman" w:cs="Times New Roman"/>
          <w:szCs w:val="24"/>
          <w:lang w:eastAsia="es-CO"/>
        </w:rPr>
      </w:pPr>
      <w:r w:rsidRPr="002708E1">
        <w:rPr>
          <w:rFonts w:eastAsia="Times New Roman" w:cs="Times New Roman"/>
          <w:szCs w:val="24"/>
          <w:lang w:eastAsia="es-CO"/>
        </w:rPr>
        <w:t> </w:t>
      </w:r>
    </w:p>
    <w:p w:rsidR="002708E1" w:rsidRPr="002708E1" w:rsidRDefault="002708E1" w:rsidP="002708E1">
      <w:pPr>
        <w:spacing w:after="0" w:line="240" w:lineRule="auto"/>
        <w:jc w:val="both"/>
        <w:rPr>
          <w:rFonts w:eastAsia="Times New Roman" w:cs="Times New Roman"/>
          <w:szCs w:val="24"/>
          <w:lang w:eastAsia="es-CO"/>
        </w:rPr>
      </w:pPr>
      <w:r w:rsidRPr="002708E1">
        <w:rPr>
          <w:rFonts w:eastAsia="Times New Roman" w:cs="Times New Roman"/>
          <w:szCs w:val="24"/>
          <w:lang w:eastAsia="es-CO"/>
        </w:rPr>
        <w:t>Atentamente,</w:t>
      </w:r>
    </w:p>
    <w:p w:rsidR="002708E1" w:rsidRPr="002708E1" w:rsidRDefault="002708E1" w:rsidP="002708E1">
      <w:pPr>
        <w:spacing w:after="0" w:line="240" w:lineRule="auto"/>
        <w:jc w:val="both"/>
        <w:rPr>
          <w:rFonts w:eastAsia="Times New Roman" w:cs="Times New Roman"/>
          <w:szCs w:val="24"/>
          <w:lang w:eastAsia="es-CO"/>
        </w:rPr>
      </w:pPr>
      <w:r w:rsidRPr="002708E1">
        <w:rPr>
          <w:rFonts w:eastAsia="Times New Roman" w:cs="Times New Roman"/>
          <w:szCs w:val="24"/>
          <w:lang w:eastAsia="es-CO"/>
        </w:rPr>
        <w:t> </w:t>
      </w:r>
    </w:p>
    <w:p w:rsidR="002708E1" w:rsidRPr="002708E1" w:rsidRDefault="002708E1" w:rsidP="002708E1">
      <w:pPr>
        <w:spacing w:after="0" w:line="240" w:lineRule="auto"/>
        <w:jc w:val="both"/>
        <w:rPr>
          <w:rFonts w:eastAsia="Times New Roman" w:cs="Times New Roman"/>
          <w:szCs w:val="24"/>
          <w:lang w:eastAsia="es-CO"/>
        </w:rPr>
      </w:pPr>
      <w:r w:rsidRPr="002708E1">
        <w:rPr>
          <w:rFonts w:eastAsia="Times New Roman" w:cs="Times New Roman"/>
          <w:szCs w:val="24"/>
          <w:lang w:eastAsia="es-CO"/>
        </w:rPr>
        <w:t> </w:t>
      </w:r>
    </w:p>
    <w:p w:rsidR="002708E1" w:rsidRPr="002708E1" w:rsidRDefault="002708E1" w:rsidP="002708E1">
      <w:pPr>
        <w:spacing w:after="0" w:line="240" w:lineRule="auto"/>
        <w:jc w:val="both"/>
        <w:rPr>
          <w:rFonts w:eastAsia="Times New Roman" w:cs="Times New Roman"/>
          <w:szCs w:val="24"/>
          <w:lang w:eastAsia="es-CO"/>
        </w:rPr>
      </w:pPr>
      <w:r w:rsidRPr="002708E1">
        <w:rPr>
          <w:rFonts w:eastAsia="Times New Roman" w:cs="Times New Roman"/>
          <w:b/>
          <w:szCs w:val="24"/>
          <w:lang w:eastAsia="es-CO"/>
        </w:rPr>
        <w:t>El Subdirector de Gestión Normativa y Doctrina (e),</w:t>
      </w:r>
    </w:p>
    <w:p w:rsidR="002708E1" w:rsidRPr="002708E1" w:rsidRDefault="002708E1" w:rsidP="002708E1">
      <w:pPr>
        <w:spacing w:after="0" w:line="240" w:lineRule="auto"/>
        <w:jc w:val="both"/>
        <w:rPr>
          <w:rFonts w:eastAsia="Times New Roman" w:cs="Times New Roman"/>
          <w:szCs w:val="24"/>
          <w:lang w:eastAsia="es-CO"/>
        </w:rPr>
      </w:pPr>
      <w:r w:rsidRPr="002708E1">
        <w:rPr>
          <w:rFonts w:eastAsia="Times New Roman" w:cs="Times New Roman"/>
          <w:i/>
          <w:iCs/>
          <w:szCs w:val="24"/>
          <w:lang w:eastAsia="es-CO"/>
        </w:rPr>
        <w:t>Pedro Pablo Contreras Camargo.</w:t>
      </w:r>
    </w:p>
    <w:p w:rsidR="002708E1" w:rsidRPr="002708E1" w:rsidRDefault="002708E1" w:rsidP="002708E1">
      <w:pPr>
        <w:spacing w:after="0" w:line="240" w:lineRule="auto"/>
        <w:jc w:val="both"/>
        <w:rPr>
          <w:rFonts w:eastAsia="Times New Roman" w:cs="Times New Roman"/>
          <w:szCs w:val="24"/>
          <w:lang w:eastAsia="es-CO"/>
        </w:rPr>
      </w:pPr>
      <w:r w:rsidRPr="002708E1">
        <w:rPr>
          <w:rFonts w:eastAsia="Times New Roman" w:cs="Times New Roman"/>
          <w:b/>
          <w:iCs/>
          <w:szCs w:val="24"/>
          <w:lang w:eastAsia="es-CO"/>
        </w:rPr>
        <w:t>Publicado en D.O. 49.679 del 28 de octubre de 2015.</w:t>
      </w:r>
    </w:p>
    <w:p w:rsidR="00961BFA" w:rsidRPr="002708E1" w:rsidRDefault="00961BFA" w:rsidP="002708E1">
      <w:pPr>
        <w:jc w:val="both"/>
        <w:rPr>
          <w:rFonts w:cs="Times New Roman"/>
          <w:szCs w:val="24"/>
        </w:rPr>
      </w:pPr>
    </w:p>
    <w:p w:rsidR="002708E1" w:rsidRPr="002708E1" w:rsidRDefault="002708E1">
      <w:pPr>
        <w:jc w:val="both"/>
        <w:rPr>
          <w:rFonts w:cs="Times New Roman"/>
          <w:szCs w:val="24"/>
        </w:rPr>
      </w:pPr>
    </w:p>
    <w:sectPr w:rsidR="002708E1" w:rsidRPr="002708E1" w:rsidSect="00524D64">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8E1"/>
    <w:rsid w:val="00087F24"/>
    <w:rsid w:val="002708E1"/>
    <w:rsid w:val="0029351E"/>
    <w:rsid w:val="00524D64"/>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2EA1B-34AA-4861-80F7-2E5624D6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21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47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ta.org.co/html/vista_de_un_articulo.asp?Norma=408" TargetMode="External"/><Relationship Id="rId12" Type="http://schemas.openxmlformats.org/officeDocument/2006/relationships/hyperlink" Target="http://www.ceta.org.co/html/vista_de_un_articulo.asp?Norma=4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408" TargetMode="External"/><Relationship Id="rId11" Type="http://schemas.openxmlformats.org/officeDocument/2006/relationships/hyperlink" Target="http://www.ceta.org.co/html/vista_de_un_articulo.asp?Norma=477" TargetMode="External"/><Relationship Id="rId5" Type="http://schemas.openxmlformats.org/officeDocument/2006/relationships/hyperlink" Target="http://www.ceta.org.co/html/vista_de_un_articulo.asp?Norma=477" TargetMode="External"/><Relationship Id="rId10" Type="http://schemas.openxmlformats.org/officeDocument/2006/relationships/hyperlink" Target="http://www.ceta.org.co/html/vista_de_un_articulo.asp?Norma=477" TargetMode="External"/><Relationship Id="rId4" Type="http://schemas.openxmlformats.org/officeDocument/2006/relationships/hyperlink" Target="http://www.ceta.org.co/html/vista_de_un_articulo.asp?Norma=408" TargetMode="External"/><Relationship Id="rId9" Type="http://schemas.openxmlformats.org/officeDocument/2006/relationships/hyperlink" Target="http://www.ceta.org.co/html/vista_de_un_articulo.asp?Norma=477"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1109</Words>
  <Characters>6105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3</cp:revision>
  <dcterms:created xsi:type="dcterms:W3CDTF">2015-11-21T22:41:00Z</dcterms:created>
  <dcterms:modified xsi:type="dcterms:W3CDTF">2015-11-22T19:01:00Z</dcterms:modified>
</cp:coreProperties>
</file>